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2198747</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rFonts w:cs="David"/>
          <w:b/>
          <w:bCs/>
          <w:sz w:val="26"/>
          <w:szCs w:val="26"/>
          <w:rtl/>
        </w:rPr>
      </w:pPr>
    </w:p>
    <w:p w14:paraId="7F6961AA" w14:textId="3D6CD37F" w:rsidR="00E13C27" w:rsidRPr="00CF1AA2" w:rsidRDefault="008F6665" w:rsidP="000B6371">
      <w:pPr>
        <w:pStyle w:val="David"/>
        <w:spacing w:line="360" w:lineRule="auto"/>
        <w:ind w:left="3544"/>
        <w:rPr>
          <w:b/>
          <w:bCs/>
          <w:sz w:val="16"/>
          <w:szCs w:val="16"/>
          <w:rtl/>
        </w:rPr>
      </w:pPr>
      <w:bookmarkStart w:id="2" w:name="LGS_Initiators_List"/>
      <w:r>
        <w:rPr>
          <w:b/>
          <w:bCs/>
          <w:rtl/>
        </w:rPr>
        <w:t>יוזם:</w:t>
      </w:r>
      <w:r>
        <w:tab/>
      </w:r>
      <w:r>
        <w:rPr>
          <w:b/>
          <w:bCs/>
          <w:rtl/>
        </w:rPr>
        <w:t xml:space="preserve">      חבר הכנסת</w:t>
      </w:r>
      <w:bookmarkEnd w:id="2"/>
      <w:r w:rsidR="00B35784" w:rsidRPr="00F67051">
        <w:rPr>
          <w:b/>
          <w:bCs/>
        </w:rPr>
        <w:tab/>
      </w:r>
      <w:bookmarkStart w:id="3" w:name="LGS_PM_Names"/>
      <w:r>
        <w:rPr>
          <w:rFonts w:hint="cs"/>
          <w:b/>
          <w:bCs/>
          <w:rtl/>
        </w:rPr>
        <w:t>מיכאל מרדכי ביטון</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פ/1467/25</w:t>
      </w:r>
      <w:bookmarkEnd w:id="6"/>
    </w:p>
    <w:p w14:paraId="7F6961AC" w14:textId="77777777" w:rsidR="00E13C27" w:rsidRDefault="00E13C27" w:rsidP="00E13C27">
      <w:pPr>
        <w:spacing w:before="0" w:line="360" w:lineRule="auto"/>
        <w:ind w:left="2880" w:firstLine="720"/>
        <w:rPr>
          <w:rFonts w:cs="David"/>
          <w:sz w:val="26"/>
          <w:szCs w:val="26"/>
          <w:rtl/>
        </w:rPr>
      </w:pPr>
    </w:p>
    <w:p w14:paraId="75EA3D78" w14:textId="6CD201A9" w:rsidR="00A4248C" w:rsidRPr="00F67051" w:rsidRDefault="00A443CF" w:rsidP="00A4248C">
      <w:pPr>
        <w:pStyle w:val="HeadHatzaotHok"/>
        <w:rPr>
          <w:rtl/>
        </w:rPr>
      </w:pPr>
      <w:bookmarkStart w:id="7" w:name="LGS_Subject"/>
      <w:r>
        <w:rPr>
          <w:rFonts w:hint="cs"/>
          <w:rtl/>
        </w:rPr>
        <w:t xml:space="preserve">הצעת חוק הבנקאות (שירות ללקוח) (תיקון – הגבלת עמלת ערבות בנקאית שמובטחת בפיקדון כספי מסוים), </w:t>
      </w:r>
      <w:proofErr w:type="spellStart"/>
      <w:r>
        <w:rPr>
          <w:rFonts w:hint="cs"/>
          <w:rtl/>
        </w:rPr>
        <w:t>התשפ"ג</w:t>
      </w:r>
      <w:proofErr w:type="spellEnd"/>
      <w:r>
        <w:rPr>
          <w:rFonts w:hint="cs"/>
          <w:rtl/>
        </w:rPr>
        <w:t>–2023</w:t>
      </w:r>
      <w:bookmarkEnd w:id="7"/>
    </w:p>
    <w:tbl>
      <w:tblPr>
        <w:bidiVisual/>
        <w:tblW w:w="9638" w:type="dxa"/>
        <w:tblLayout w:type="fixed"/>
        <w:tblCellMar>
          <w:top w:w="57" w:type="dxa"/>
          <w:left w:w="0" w:type="dxa"/>
          <w:bottom w:w="57" w:type="dxa"/>
          <w:right w:w="0" w:type="dxa"/>
        </w:tblCellMar>
        <w:tblLook w:val="01E0" w:firstRow="1" w:lastRow="1" w:firstColumn="1" w:lastColumn="1" w:noHBand="0" w:noVBand="0"/>
      </w:tblPr>
      <w:tblGrid>
        <w:gridCol w:w="1871"/>
        <w:gridCol w:w="623"/>
        <w:gridCol w:w="1871"/>
        <w:gridCol w:w="621"/>
        <w:gridCol w:w="4652"/>
      </w:tblGrid>
      <w:tr w:rsidR="00A4248C" w14:paraId="1F9464CE" w14:textId="77777777" w:rsidTr="004E7AD2">
        <w:trPr>
          <w:cantSplit/>
        </w:trPr>
        <w:tc>
          <w:tcPr>
            <w:tcW w:w="1871" w:type="dxa"/>
          </w:tcPr>
          <w:p w14:paraId="36451716" w14:textId="77777777" w:rsidR="00A4248C" w:rsidRPr="00C3384F" w:rsidRDefault="00A4248C" w:rsidP="004E7AD2">
            <w:pPr>
              <w:pStyle w:val="TableSideHeading"/>
              <w:rPr>
                <w:rtl/>
              </w:rPr>
            </w:pPr>
            <w:r>
              <w:rPr>
                <w:rFonts w:hint="cs"/>
                <w:rtl/>
              </w:rPr>
              <w:t>הוספת סעיף</w:t>
            </w:r>
            <w:r w:rsidRPr="00C3384F">
              <w:rPr>
                <w:rFonts w:hint="cs"/>
                <w:rtl/>
              </w:rPr>
              <w:t xml:space="preserve"> 9</w:t>
            </w:r>
            <w:r>
              <w:rPr>
                <w:rFonts w:hint="cs"/>
                <w:rtl/>
              </w:rPr>
              <w:t>יא1</w:t>
            </w:r>
            <w:r w:rsidRPr="00C3384F">
              <w:rPr>
                <w:rFonts w:hint="cs"/>
                <w:rtl/>
              </w:rPr>
              <w:t xml:space="preserve"> </w:t>
            </w:r>
          </w:p>
        </w:tc>
        <w:tc>
          <w:tcPr>
            <w:tcW w:w="623" w:type="dxa"/>
          </w:tcPr>
          <w:p w14:paraId="13938687" w14:textId="77777777" w:rsidR="00A4248C" w:rsidRPr="009E3DF2" w:rsidRDefault="00A4248C" w:rsidP="004E7AD2">
            <w:pPr>
              <w:pStyle w:val="TableText"/>
              <w:jc w:val="both"/>
            </w:pPr>
            <w:r w:rsidRPr="009E3DF2">
              <w:rPr>
                <w:rFonts w:hint="cs"/>
                <w:rtl/>
              </w:rPr>
              <w:t>1.</w:t>
            </w:r>
          </w:p>
        </w:tc>
        <w:tc>
          <w:tcPr>
            <w:tcW w:w="7144" w:type="dxa"/>
            <w:gridSpan w:val="3"/>
          </w:tcPr>
          <w:p w14:paraId="1D9CB339" w14:textId="77777777" w:rsidR="00A4248C" w:rsidRPr="00C3384F" w:rsidRDefault="00A4248C" w:rsidP="004E7AD2">
            <w:pPr>
              <w:pStyle w:val="TableBlock"/>
            </w:pPr>
            <w:r w:rsidRPr="00C3384F">
              <w:rPr>
                <w:rFonts w:hint="cs"/>
                <w:rtl/>
              </w:rPr>
              <w:t>ב</w:t>
            </w:r>
            <w:r w:rsidRPr="00C3384F">
              <w:rPr>
                <w:rtl/>
              </w:rPr>
              <w:t xml:space="preserve">חוק הבנקאות (שירות ללקוח), </w:t>
            </w:r>
            <w:proofErr w:type="spellStart"/>
            <w:r w:rsidRPr="00C3384F">
              <w:rPr>
                <w:rFonts w:hint="cs"/>
                <w:rtl/>
              </w:rPr>
              <w:t>ה</w:t>
            </w:r>
            <w:r w:rsidRPr="00C3384F">
              <w:rPr>
                <w:rtl/>
              </w:rPr>
              <w:t>תש</w:t>
            </w:r>
            <w:r w:rsidRPr="00C3384F">
              <w:rPr>
                <w:rFonts w:hint="cs"/>
                <w:rtl/>
              </w:rPr>
              <w:t>מ"א</w:t>
            </w:r>
            <w:proofErr w:type="spellEnd"/>
            <w:r>
              <w:rPr>
                <w:rFonts w:hint="cs"/>
                <w:rtl/>
              </w:rPr>
              <w:t>–</w:t>
            </w:r>
            <w:r w:rsidRPr="00C3384F">
              <w:rPr>
                <w:rFonts w:hint="cs"/>
                <w:rtl/>
              </w:rPr>
              <w:t>1</w:t>
            </w:r>
            <w:r>
              <w:rPr>
                <w:rFonts w:hint="cs"/>
                <w:rtl/>
              </w:rPr>
              <w:t>981</w:t>
            </w:r>
            <w:r w:rsidRPr="009E3DF2">
              <w:rPr>
                <w:rFonts w:ascii="David" w:hAnsi="David"/>
                <w:sz w:val="26"/>
                <w:szCs w:val="20"/>
                <w:vertAlign w:val="superscript"/>
                <w:rtl/>
              </w:rPr>
              <w:footnoteReference w:id="2"/>
            </w:r>
            <w:r>
              <w:rPr>
                <w:rFonts w:hint="cs"/>
                <w:rtl/>
              </w:rPr>
              <w:t>,</w:t>
            </w:r>
            <w:r w:rsidRPr="00C3384F">
              <w:rPr>
                <w:rFonts w:hint="cs"/>
                <w:rtl/>
              </w:rPr>
              <w:t xml:space="preserve"> </w:t>
            </w:r>
            <w:r>
              <w:rPr>
                <w:rFonts w:hint="cs"/>
                <w:rtl/>
              </w:rPr>
              <w:t xml:space="preserve">אחרי </w:t>
            </w:r>
            <w:r w:rsidRPr="00C3384F">
              <w:rPr>
                <w:rFonts w:hint="cs"/>
                <w:rtl/>
              </w:rPr>
              <w:t>סעיף 9</w:t>
            </w:r>
            <w:r>
              <w:rPr>
                <w:rFonts w:hint="cs"/>
                <w:rtl/>
              </w:rPr>
              <w:t>יא יבוא</w:t>
            </w:r>
            <w:r w:rsidRPr="00C3384F">
              <w:rPr>
                <w:rFonts w:hint="cs"/>
                <w:rtl/>
              </w:rPr>
              <w:t xml:space="preserve">: </w:t>
            </w:r>
          </w:p>
        </w:tc>
      </w:tr>
      <w:tr w:rsidR="00A4248C" w14:paraId="03269AE4" w14:textId="77777777" w:rsidTr="004E7AD2">
        <w:trPr>
          <w:cantSplit/>
        </w:trPr>
        <w:tc>
          <w:tcPr>
            <w:tcW w:w="1871" w:type="dxa"/>
          </w:tcPr>
          <w:p w14:paraId="1AEBF72C" w14:textId="77777777" w:rsidR="00A4248C" w:rsidRDefault="00A4248C" w:rsidP="004E7AD2">
            <w:pPr>
              <w:pStyle w:val="TableSideHeading"/>
              <w:keepLines w:val="0"/>
            </w:pPr>
          </w:p>
        </w:tc>
        <w:tc>
          <w:tcPr>
            <w:tcW w:w="623" w:type="dxa"/>
          </w:tcPr>
          <w:p w14:paraId="69761FA2" w14:textId="77777777" w:rsidR="00A4248C" w:rsidRDefault="00A4248C" w:rsidP="004E7AD2">
            <w:pPr>
              <w:pStyle w:val="TableText"/>
              <w:keepLines w:val="0"/>
            </w:pPr>
          </w:p>
        </w:tc>
        <w:tc>
          <w:tcPr>
            <w:tcW w:w="1871" w:type="dxa"/>
          </w:tcPr>
          <w:p w14:paraId="73A88315" w14:textId="77777777" w:rsidR="00A4248C" w:rsidRDefault="00A4248C" w:rsidP="004E7AD2">
            <w:pPr>
              <w:pStyle w:val="TableInnerSideHeading"/>
            </w:pPr>
            <w:r>
              <w:rPr>
                <w:rFonts w:hint="cs"/>
                <w:rtl/>
              </w:rPr>
              <w:t>"הגבלת עמלת ערבות בנקאית המובטחת בפיקדון כספי מסוים</w:t>
            </w:r>
          </w:p>
        </w:tc>
        <w:tc>
          <w:tcPr>
            <w:tcW w:w="621" w:type="dxa"/>
          </w:tcPr>
          <w:p w14:paraId="22B9B8CA" w14:textId="77777777" w:rsidR="00A4248C" w:rsidRPr="00625CF4" w:rsidRDefault="00A4248C" w:rsidP="004E7AD2">
            <w:pPr>
              <w:pStyle w:val="TableText"/>
            </w:pPr>
            <w:r>
              <w:rPr>
                <w:rFonts w:hint="cs"/>
                <w:rtl/>
              </w:rPr>
              <w:t>9יא1.</w:t>
            </w:r>
          </w:p>
        </w:tc>
        <w:tc>
          <w:tcPr>
            <w:tcW w:w="4652" w:type="dxa"/>
          </w:tcPr>
          <w:p w14:paraId="49F2D01C" w14:textId="77777777" w:rsidR="00A4248C" w:rsidRDefault="00A4248C" w:rsidP="004E7AD2">
            <w:pPr>
              <w:pStyle w:val="TableBlock"/>
            </w:pPr>
            <w:r w:rsidRPr="00C3384F">
              <w:rPr>
                <w:rtl/>
              </w:rPr>
              <w:t xml:space="preserve">בעד </w:t>
            </w:r>
            <w:r>
              <w:rPr>
                <w:rFonts w:hint="cs"/>
                <w:rtl/>
              </w:rPr>
              <w:t xml:space="preserve">העמדת ערבות בנקאית המובטחת בפיקדון כספי מסוים, </w:t>
            </w:r>
            <w:r w:rsidRPr="00C3384F">
              <w:rPr>
                <w:rtl/>
              </w:rPr>
              <w:t>רשאי תאגיד בנקאי לגבות עמלה</w:t>
            </w:r>
            <w:r>
              <w:rPr>
                <w:rFonts w:hint="cs"/>
                <w:rtl/>
              </w:rPr>
              <w:t xml:space="preserve"> חד-פעמית</w:t>
            </w:r>
            <w:r w:rsidRPr="00C3384F">
              <w:rPr>
                <w:rtl/>
              </w:rPr>
              <w:t xml:space="preserve"> </w:t>
            </w:r>
            <w:r>
              <w:rPr>
                <w:rFonts w:hint="cs"/>
                <w:rtl/>
              </w:rPr>
              <w:t>בסכום ש</w:t>
            </w:r>
            <w:r w:rsidRPr="00C3384F">
              <w:rPr>
                <w:rtl/>
              </w:rPr>
              <w:t xml:space="preserve">לא יעלה על </w:t>
            </w:r>
            <w:r>
              <w:rPr>
                <w:rFonts w:hint="cs"/>
                <w:rtl/>
              </w:rPr>
              <w:t>200 ש</w:t>
            </w:r>
            <w:r w:rsidRPr="00C3384F">
              <w:rPr>
                <w:rtl/>
              </w:rPr>
              <w:t>קלים חדשים."</w:t>
            </w:r>
          </w:p>
        </w:tc>
      </w:tr>
    </w:tbl>
    <w:p w14:paraId="7B10D2B3" w14:textId="77777777" w:rsidR="00A4248C" w:rsidRDefault="00A4248C" w:rsidP="00A4248C">
      <w:pPr>
        <w:pStyle w:val="HeadDivreiHesber"/>
        <w:rPr>
          <w:rtl/>
        </w:rPr>
      </w:pPr>
      <w:r w:rsidRPr="0027450A">
        <w:rPr>
          <w:rFonts w:hint="cs"/>
          <w:rtl/>
        </w:rPr>
        <w:t>דברי הסבר</w:t>
      </w:r>
    </w:p>
    <w:p w14:paraId="4F700DDF" w14:textId="77777777" w:rsidR="00A4248C" w:rsidRPr="0067617F" w:rsidRDefault="00A4248C" w:rsidP="0067617F">
      <w:pPr>
        <w:pStyle w:val="Hesber"/>
        <w:rPr>
          <w:rtl/>
        </w:rPr>
      </w:pPr>
      <w:r w:rsidRPr="0067617F">
        <w:rPr>
          <w:rFonts w:hint="cs"/>
          <w:rtl/>
        </w:rPr>
        <w:t>לדוגמא, בהסכם השכירות בדירה שבו נדרש מבקש הערבות לסגור חלק מכספו שלו בפיקדון בבנק, בכדי לקבל ערבות בנקאית,  הוא נדרש לשלם אחוזי ריבית לבנק וזאת בהעדר אף פעולה מלבד הוצאת מסמך על פיקדון כאמור. על כן,</w:t>
      </w:r>
      <w:r w:rsidRPr="0067617F">
        <w:rPr>
          <w:rtl/>
        </w:rPr>
        <w:t xml:space="preserve"> לא סביר שציבור </w:t>
      </w:r>
      <w:r w:rsidRPr="0067617F">
        <w:rPr>
          <w:rFonts w:hint="cs"/>
          <w:rtl/>
        </w:rPr>
        <w:t xml:space="preserve">מבקשי הערבויות </w:t>
      </w:r>
      <w:r w:rsidRPr="0067617F">
        <w:rPr>
          <w:rtl/>
        </w:rPr>
        <w:t xml:space="preserve">יידרש לשלם עמלה גבוהה </w:t>
      </w:r>
      <w:r w:rsidRPr="0067617F">
        <w:rPr>
          <w:rFonts w:hint="cs"/>
          <w:rtl/>
        </w:rPr>
        <w:t>להעמדת ערבות בנקאית שמגובה בפיקדון.</w:t>
      </w:r>
    </w:p>
    <w:p w14:paraId="411CB726" w14:textId="1A6833F0" w:rsidR="00A4248C" w:rsidRPr="0067617F" w:rsidRDefault="00A4248C" w:rsidP="00020DC5">
      <w:pPr>
        <w:pStyle w:val="Hesber"/>
        <w:rPr>
          <w:rtl/>
        </w:rPr>
      </w:pPr>
      <w:r w:rsidRPr="0067617F">
        <w:rPr>
          <w:rFonts w:hint="cs"/>
          <w:rtl/>
        </w:rPr>
        <w:t xml:space="preserve">לפיכך, מוצע לתקן את חוק הבנקאות (שירות ללקוח), </w:t>
      </w:r>
      <w:proofErr w:type="spellStart"/>
      <w:r w:rsidRPr="0067617F">
        <w:rPr>
          <w:rFonts w:hint="cs"/>
          <w:rtl/>
        </w:rPr>
        <w:t>התשמ"א</w:t>
      </w:r>
      <w:proofErr w:type="spellEnd"/>
      <w:r w:rsidR="00020DC5">
        <w:t>–</w:t>
      </w:r>
      <w:bookmarkStart w:id="8" w:name="_GoBack"/>
      <w:bookmarkEnd w:id="8"/>
      <w:r w:rsidRPr="0067617F">
        <w:rPr>
          <w:rFonts w:hint="cs"/>
          <w:rtl/>
        </w:rPr>
        <w:t xml:space="preserve">1981, ולקבוע כי </w:t>
      </w:r>
      <w:r w:rsidRPr="0067617F">
        <w:rPr>
          <w:rtl/>
        </w:rPr>
        <w:t xml:space="preserve">תאגיד בנקאי </w:t>
      </w:r>
      <w:r w:rsidRPr="0067617F">
        <w:rPr>
          <w:rFonts w:hint="cs"/>
          <w:rtl/>
        </w:rPr>
        <w:t xml:space="preserve">יוכל, עבור העמדת ערבות בנקאית שמגובה בפיקדון, </w:t>
      </w:r>
      <w:r w:rsidRPr="0067617F">
        <w:rPr>
          <w:rtl/>
        </w:rPr>
        <w:t>לגבות עמלה</w:t>
      </w:r>
      <w:r w:rsidRPr="0067617F">
        <w:rPr>
          <w:rFonts w:hint="cs"/>
          <w:rtl/>
        </w:rPr>
        <w:t xml:space="preserve"> חד-פעמית בסכום ש</w:t>
      </w:r>
      <w:r w:rsidRPr="0067617F">
        <w:rPr>
          <w:rtl/>
        </w:rPr>
        <w:t xml:space="preserve">לא יעלה על </w:t>
      </w:r>
      <w:r w:rsidRPr="0067617F">
        <w:rPr>
          <w:rFonts w:hint="cs"/>
          <w:rtl/>
        </w:rPr>
        <w:t>200 ש</w:t>
      </w:r>
      <w:r w:rsidRPr="0067617F">
        <w:rPr>
          <w:rtl/>
        </w:rPr>
        <w:t>קלים חדשים.</w:t>
      </w:r>
    </w:p>
    <w:p w14:paraId="74EAE13B" w14:textId="517250E9" w:rsidR="0067617F" w:rsidRDefault="0067617F" w:rsidP="0067617F">
      <w:pPr>
        <w:pStyle w:val="Hesber"/>
        <w:rPr>
          <w:rtl/>
        </w:rPr>
      </w:pPr>
      <w:r>
        <w:rPr>
          <w:rtl/>
        </w:rPr>
        <w:t>הצעות חוק זהות הונחו על שולחן הכנסת העשרים וארבע על ידי חברי הכנסת מיכאל מרדכי ביטון ושלמה קרעי (פ/3619/24) ועל ידי חבר הכנסת שלמה קרעי (פ/3726/24)</w:t>
      </w:r>
      <w:r>
        <w:rPr>
          <w:rFonts w:hint="cs"/>
          <w:rtl/>
        </w:rPr>
        <w:t xml:space="preserve"> ועל שולחן הכנסת העשרים וחמש על ידי חבר הכנסת שלמה קרעי (פ/253/25).</w:t>
      </w:r>
    </w:p>
    <w:p w14:paraId="5BC28B99" w14:textId="1BA17C5E" w:rsidR="0067617F" w:rsidRDefault="0067617F" w:rsidP="0067617F">
      <w:pPr>
        <w:pStyle w:val="Hesber"/>
      </w:pPr>
      <w:r>
        <w:rPr>
          <w:rFonts w:hint="cs"/>
          <w:rtl/>
        </w:rPr>
        <w:t xml:space="preserve">הצעת החוק זהה </w:t>
      </w:r>
      <w:proofErr w:type="spellStart"/>
      <w:r>
        <w:rPr>
          <w:rFonts w:hint="cs"/>
          <w:rtl/>
        </w:rPr>
        <w:t>לפ</w:t>
      </w:r>
      <w:proofErr w:type="spellEnd"/>
      <w:r>
        <w:rPr>
          <w:rFonts w:hint="cs"/>
          <w:rtl/>
        </w:rPr>
        <w:t>/253/25 ולפיכך לא נבדקה מחדש על ידי הלשכה המשפטית של הכנסת.</w:t>
      </w:r>
    </w:p>
    <w:p w14:paraId="7F6961CB" w14:textId="77777777" w:rsidR="00E13C27" w:rsidRPr="0067617F" w:rsidRDefault="00E13C27" w:rsidP="00A4248C">
      <w:pPr>
        <w:pStyle w:val="HeadDivreiHesber"/>
        <w:spacing w:before="0" w:after="0"/>
        <w:rPr>
          <w:rtl/>
        </w:rPr>
      </w:pPr>
    </w:p>
    <w:p w14:paraId="664F962B" w14:textId="77777777" w:rsidR="00E85F46" w:rsidRDefault="000B6371">
      <w:pPr>
        <w:spacing w:before="0" w:line="360" w:lineRule="auto"/>
        <w:jc w:val="left"/>
      </w:pPr>
      <w:bookmarkStart w:id="9" w:name="selectedDocDateB"/>
      <w:bookmarkEnd w:id="9"/>
      <w:r>
        <w:rPr>
          <w:rFonts w:ascii="David" w:eastAsia="David" w:hAnsi="David" w:cs="David" w:hint="cs"/>
          <w:sz w:val="26"/>
          <w:szCs w:val="26"/>
          <w:rtl/>
        </w:rPr>
        <w:t>--------------------------------</w:t>
      </w:r>
    </w:p>
    <w:p w14:paraId="1640D3CE" w14:textId="77777777" w:rsidR="00E85F46" w:rsidRDefault="000B6371">
      <w:pPr>
        <w:spacing w:before="0" w:line="360" w:lineRule="auto"/>
        <w:jc w:val="left"/>
      </w:pPr>
      <w:r>
        <w:rPr>
          <w:rFonts w:ascii="David" w:eastAsia="David" w:hAnsi="David" w:cs="David" w:hint="cs"/>
          <w:sz w:val="26"/>
          <w:szCs w:val="26"/>
          <w:rtl/>
        </w:rPr>
        <w:t>הוגשה ליו"ר הכנסת והסגנים</w:t>
      </w:r>
    </w:p>
    <w:p w14:paraId="500A33B1" w14:textId="77777777" w:rsidR="00E85F46" w:rsidRDefault="000B6371">
      <w:pPr>
        <w:spacing w:before="0" w:line="360" w:lineRule="auto"/>
        <w:jc w:val="left"/>
      </w:pPr>
      <w:r>
        <w:rPr>
          <w:rFonts w:ascii="David" w:eastAsia="David" w:hAnsi="David" w:cs="David" w:hint="cs"/>
          <w:sz w:val="26"/>
          <w:szCs w:val="26"/>
          <w:rtl/>
        </w:rPr>
        <w:t>והונחה על שולחן הכנסת ביום</w:t>
      </w:r>
    </w:p>
    <w:p w14:paraId="326DED6F" w14:textId="77777777" w:rsidR="00E85F46" w:rsidRDefault="000B6371">
      <w:pPr>
        <w:spacing w:before="0" w:line="360" w:lineRule="auto"/>
        <w:jc w:val="left"/>
      </w:pPr>
      <w:r>
        <w:rPr>
          <w:rFonts w:ascii="David" w:eastAsia="David" w:hAnsi="David" w:cs="David" w:hint="cs"/>
          <w:sz w:val="26"/>
          <w:szCs w:val="26"/>
          <w:rtl/>
        </w:rPr>
        <w:t xml:space="preserve">ט"ז בטבת </w:t>
      </w:r>
      <w:proofErr w:type="spellStart"/>
      <w:r>
        <w:rPr>
          <w:rFonts w:ascii="David" w:eastAsia="David" w:hAnsi="David" w:cs="David" w:hint="cs"/>
          <w:sz w:val="26"/>
          <w:szCs w:val="26"/>
          <w:rtl/>
        </w:rPr>
        <w:t>התשפ"ג</w:t>
      </w:r>
      <w:proofErr w:type="spellEnd"/>
      <w:r>
        <w:rPr>
          <w:rFonts w:ascii="David" w:eastAsia="David" w:hAnsi="David" w:cs="David" w:hint="cs"/>
          <w:sz w:val="26"/>
          <w:szCs w:val="26"/>
          <w:rtl/>
        </w:rPr>
        <w:t xml:space="preserve"> (09.01.2023) </w:t>
      </w:r>
    </w:p>
    <w:p w14:paraId="52BE36F7" w14:textId="77777777" w:rsidR="00E85F46" w:rsidRDefault="00E85F46">
      <w:pPr>
        <w:spacing w:before="0" w:line="276" w:lineRule="auto"/>
        <w:jc w:val="left"/>
      </w:pPr>
    </w:p>
    <w:sectPr w:rsidR="00E85F46"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14:paraId="7F6961D6" w14:textId="77777777" w:rsidR="002C3041" w:rsidRDefault="002C304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77777777" w:rsidR="002C3041" w:rsidRDefault="002C3041" w:rsidP="001207F8">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Pr>
        <w:rStyle w:val="aa"/>
        <w:noProof/>
        <w:rtl/>
      </w:rPr>
      <w:t>2</w:t>
    </w:r>
    <w:r>
      <w:rPr>
        <w:rStyle w:val="aa"/>
        <w:rtl/>
      </w:rPr>
      <w:fldChar w:fldCharType="end"/>
    </w:r>
  </w:p>
  <w:p w14:paraId="7F6961D8" w14:textId="77777777" w:rsidR="002C3041" w:rsidRDefault="002C304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25879BC8" w14:textId="77777777" w:rsidR="00A4248C" w:rsidRDefault="00A4248C" w:rsidP="00A4248C">
      <w:pPr>
        <w:pStyle w:val="a4"/>
      </w:pPr>
      <w:r>
        <w:rPr>
          <w:rStyle w:val="a5"/>
        </w:rPr>
        <w:footnoteRef/>
      </w:r>
      <w:r>
        <w:rPr>
          <w:rtl/>
        </w:rPr>
        <w:t xml:space="preserve"> </w:t>
      </w:r>
      <w:r>
        <w:rPr>
          <w:rFonts w:hint="cs"/>
          <w:rtl/>
        </w:rPr>
        <w:t xml:space="preserve">ס"ח </w:t>
      </w:r>
      <w:proofErr w:type="spellStart"/>
      <w:r>
        <w:rPr>
          <w:rFonts w:hint="cs"/>
          <w:rtl/>
        </w:rPr>
        <w:t>התשמ"א</w:t>
      </w:r>
      <w:proofErr w:type="spellEnd"/>
      <w:r>
        <w:rPr>
          <w:rFonts w:hint="cs"/>
          <w:rtl/>
        </w:rPr>
        <w:t>, עמ' 258.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20DC5"/>
    <w:rsid w:val="00063A3E"/>
    <w:rsid w:val="00072CAC"/>
    <w:rsid w:val="0007681A"/>
    <w:rsid w:val="000A542E"/>
    <w:rsid w:val="000B6371"/>
    <w:rsid w:val="00102B6B"/>
    <w:rsid w:val="001052D4"/>
    <w:rsid w:val="0010644B"/>
    <w:rsid w:val="001207F8"/>
    <w:rsid w:val="00121924"/>
    <w:rsid w:val="001279A8"/>
    <w:rsid w:val="0014195F"/>
    <w:rsid w:val="00152609"/>
    <w:rsid w:val="00153E1B"/>
    <w:rsid w:val="001A0623"/>
    <w:rsid w:val="001C23B0"/>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7617F"/>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248C"/>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85F46"/>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FBFA49FE-539A-41AA-B5C0-0C6090288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5">
    <w:name w:val="footnote reference"/>
    <w:aliases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6">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7">
    <w:name w:val="header"/>
    <w:basedOn w:val="a"/>
    <w:rsid w:val="00B975AD"/>
    <w:pPr>
      <w:tabs>
        <w:tab w:val="center" w:pos="4153"/>
        <w:tab w:val="right" w:pos="8306"/>
      </w:tabs>
    </w:pPr>
  </w:style>
  <w:style w:type="paragraph" w:styleId="a8">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9">
    <w:name w:val="Title"/>
    <w:basedOn w:val="a"/>
    <w:qFormat/>
    <w:rsid w:val="00943386"/>
    <w:pPr>
      <w:jc w:val="center"/>
    </w:pPr>
    <w:rPr>
      <w:rFonts w:cs="David"/>
      <w:b/>
      <w:bCs/>
      <w:sz w:val="28"/>
      <w:szCs w:val="28"/>
      <w:u w:val="single"/>
    </w:rPr>
  </w:style>
  <w:style w:type="character" w:styleId="aa">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b">
    <w:name w:val="Balloon Text"/>
    <w:basedOn w:val="a"/>
    <w:link w:val="ac"/>
    <w:semiHidden/>
    <w:unhideWhenUsed/>
    <w:rsid w:val="00325C14"/>
    <w:pPr>
      <w:spacing w:before="0" w:line="240" w:lineRule="auto"/>
    </w:pPr>
    <w:rPr>
      <w:rFonts w:ascii="Tahoma" w:hAnsi="Tahoma" w:cs="Tahoma"/>
      <w:sz w:val="16"/>
      <w:szCs w:val="16"/>
    </w:rPr>
  </w:style>
  <w:style w:type="character" w:customStyle="1" w:styleId="ac">
    <w:name w:val="טקסט בלונים תו"/>
    <w:basedOn w:val="a0"/>
    <w:link w:val="ab"/>
    <w:semiHidden/>
    <w:rsid w:val="00325C14"/>
    <w:rPr>
      <w:rFonts w:ascii="Tahoma" w:hAnsi="Tahoma" w:cs="Tahoma"/>
      <w:color w:val="000000"/>
      <w:spacing w:val="1"/>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9754325">
      <w:bodyDiv w:val="1"/>
      <w:marLeft w:val="0"/>
      <w:marRight w:val="0"/>
      <w:marTop w:val="0"/>
      <w:marBottom w:val="0"/>
      <w:divBdr>
        <w:top w:val="none" w:sz="0" w:space="0" w:color="auto"/>
        <w:left w:val="none" w:sz="0" w:space="0" w:color="auto"/>
        <w:bottom w:val="none" w:sz="0" w:space="0" w:color="auto"/>
        <w:right w:val="none" w:sz="0" w:space="0" w:color="auto"/>
      </w:divBdr>
    </w:div>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4AFE3-9455-419C-8851-785A55F4451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290d5b49-c690-4c6f-bbb9-1e50dab33eee"/>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B268A10E-0E04-4FFE-9DD1-7EED5A9C27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4.xml><?xml version="1.0" encoding="utf-8"?>
<ds:datastoreItem xmlns:ds="http://schemas.openxmlformats.org/officeDocument/2006/customXml" ds:itemID="{00423908-80EB-4C91-BC6A-B76778087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218</Words>
  <Characters>1245</Characters>
  <Application>Microsoft Office Word</Application>
  <DocSecurity>0</DocSecurity>
  <Lines>10</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1461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7</cp:revision>
  <cp:lastPrinted>2023-01-04T13:44:00Z</cp:lastPrinted>
  <dcterms:created xsi:type="dcterms:W3CDTF">2015-04-20T09:58:00Z</dcterms:created>
  <dcterms:modified xsi:type="dcterms:W3CDTF">2023-01-04T13:44:00Z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2198747</vt:r8>
  </property>
</Properties>
</file>